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aps/>
          <w:color w:val="5B7B93"/>
          <w:sz w:val="20"/>
          <w:szCs w:val="20"/>
        </w:rPr>
        <w:t xml:space="preserve">LABORATÓRNE CVIČENIE — DOPLNKOVÉ, PRAKTICKÉ (2 × 45 min)</w:t>
      </w:r>
    </w:p>
    <w:p>
      <w:pPr>
        <w:spacing w:after="120"/>
      </w:pPr>
      <w:r>
        <w:rPr>
          <w:rFonts w:ascii="Cambria" w:cs="Cambria" w:eastAsia="Cambria" w:hAnsi="Cambria"/>
          <w:b/>
          <w:bCs/>
          <w:color w:val="263543"/>
          <w:sz w:val="40"/>
          <w:szCs w:val="40"/>
        </w:rPr>
        <w:t xml:space="preserve">Postav si vlastnú RFID väzbu</w:t>
      </w:r>
    </w:p>
    <w:p>
      <w:pPr>
        <w:spacing w:after="240"/>
      </w:pPr>
      <w:r>
        <w:rPr>
          <w:rFonts w:ascii="Calibri" w:cs="Calibri" w:eastAsia="Calibri" w:hAnsi="Calibri"/>
          <w:color w:val="5B6B78"/>
          <w:sz w:val="21"/>
          <w:szCs w:val="21"/>
        </w:rPr>
        <w:t xml:space="preserve">Aplikovaná elektronika · nadväzuje na pracovný list „RFID a rezonančné LC obvody“ — 555 čítačka + rezonančný tag s LED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none"/>
              <w:left w:val="none"/>
              <w:bottom w:val="single" w:color="9FB3C2" w:sz="4"/>
              <w:right w:val="none"/>
            </w:tcBorders>
            <w:tcMar>
              <w:top w:type="dxa" w:w="60"/>
              <w:left w:type="dxa" w:w="0"/>
              <w:bottom w:type="dxa" w:w="100"/>
              <w:right w:type="dxa" w:w="200"/>
            </w:tcMar>
          </w:tcPr>
          <w:p>
            <w:r>
              <w:rPr>
                <w:rFonts w:ascii="Calibri" w:cs="Calibri" w:eastAsia="Calibri" w:hAnsi="Calibri"/>
                <w:color w:val="5B6B78"/>
                <w:sz w:val="19"/>
                <w:szCs w:val="19"/>
              </w:rPr>
              <w:t xml:space="preserve">Meno: ..............................................................</w:t>
            </w:r>
          </w:p>
        </w:tc>
        <w:tc>
          <w:tcPr>
            <w:tcW w:type="dxa" w:w="4675"/>
            <w:tcBorders>
              <w:top w:val="none"/>
              <w:left w:val="none"/>
              <w:bottom w:val="single" w:color="9FB3C2" w:sz="4"/>
              <w:right w:val="none"/>
            </w:tcBorders>
            <w:tcMar>
              <w:top w:type="dxa" w:w="60"/>
              <w:left w:type="dxa" w:w="0"/>
              <w:bottom w:type="dxa" w:w="100"/>
              <w:right w:type="dxa" w:w="200"/>
            </w:tcMar>
          </w:tcPr>
          <w:p>
            <w:r>
              <w:rPr>
                <w:rFonts w:ascii="Calibri" w:cs="Calibri" w:eastAsia="Calibri" w:hAnsi="Calibri"/>
                <w:color w:val="5B6B78"/>
                <w:sz w:val="19"/>
                <w:szCs w:val="19"/>
              </w:rPr>
              <w:t xml:space="preserve">Dátum: ......................</w:t>
            </w:r>
          </w:p>
        </w:tc>
      </w:tr>
    </w:tbl>
    <w:p>
      <w:pPr>
        <w:spacing w:after="200"/>
      </w:pPr>
    </w:p>
    <w:p>
      <w:pPr>
        <w:pStyle w:val="Heading1"/>
        <w:pBdr>
          <w:bottom w:val="single" w:color="5B7B93" w:sz="6" w:space="6"/>
        </w:pBdr>
        <w:spacing w:after="150" w:before="300"/>
      </w:pPr>
      <w:r>
        <w:rPr>
          <w:rFonts w:ascii="Cambria" w:cs="Cambria" w:eastAsia="Cambria" w:hAnsi="Cambria"/>
          <w:b/>
          <w:bCs/>
          <w:color w:val="263543"/>
          <w:sz w:val="25"/>
          <w:szCs w:val="25"/>
        </w:rPr>
        <w:t xml:space="preserve">Cieľ cvičenia</w:t>
      </w:r>
    </w:p>
    <w:p>
      <w:pPr>
        <w:spacing w:after="140" w:line="300"/>
      </w:pPr>
      <w:r>
        <w:rPr>
          <w:rFonts w:ascii="Calibri" w:cs="Calibri" w:eastAsia="Calibri" w:hAnsi="Calibri"/>
          <w:b w:val="false"/>
          <w:bCs w:val="false"/>
          <w:i w:val="false"/>
          <w:iCs w:val="false"/>
          <w:color w:val="1A1A1A"/>
          <w:sz w:val="21"/>
          <w:szCs w:val="21"/>
        </w:rPr>
        <w:t xml:space="preserve">V pracovnom liste ste počítali, akú kapacitu C potrebuje cievka L, aby LC obvod tagu rezonoval presne na frekvenciu čítačky f₀. Teraz si rovnaký princíp postavíte naživo: jednoduchú 125 kHz „čítačku“ (555 oscilátor budiaci anténnu cievku) a vlastnoručný pasívny „tag“ (rezonančný L ∥ C obvod s usmerňovačom a LED). Tentoraz si ale ladiacu kapacitu tagu nevypočítate na papieri so zadanými číslami — vypočítate ju z L, ktorú si sami navinuli a zmerali. Keď je tag naladený presne na frekvenciu čítačky, LED sa rozsvieti len z energie indukovanej poľom — bez batérie na strane tagu. Ide o nízkovýkonovú demonštráciu princípu, nie o repliku skutočnej prístupovej karty (tá má prepracovanejšiu anténu aj čítačku a funguje na väčšiu vzdialenosť).</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E4EBF0" w:val="clear"/>
            <w:tcMar>
              <w:top w:type="dxa" w:w="180"/>
              <w:left w:type="dxa" w:w="220"/>
              <w:bottom w:type="dxa" w:w="180"/>
              <w:right w:type="dxa" w:w="220"/>
            </w:tcMar>
          </w:tcPr>
          <w:p>
            <w:pPr>
              <w:spacing w:after="60" w:line="300"/>
            </w:pPr>
            <w:r>
              <w:rPr>
                <w:rFonts w:ascii="Calibri" w:cs="Calibri" w:eastAsia="Calibri" w:hAnsi="Calibri"/>
                <w:b/>
                <w:bCs/>
                <w:color w:val="263543"/>
                <w:sz w:val="20"/>
                <w:szCs w:val="20"/>
              </w:rPr>
              <w:t xml:space="preserve">Bezpečnosť</w:t>
            </w:r>
          </w:p>
          <w:p>
            <w:pPr>
              <w:spacing w:after="0" w:line="300"/>
            </w:pPr>
            <w:r>
              <w:rPr>
                <w:rFonts w:ascii="Calibri" w:cs="Calibri" w:eastAsia="Calibri" w:hAnsi="Calibri"/>
                <w:b w:val="false"/>
                <w:bCs w:val="false"/>
                <w:i w:val="false"/>
                <w:iCs w:val="false"/>
                <w:color w:val="1A1A1A"/>
                <w:sz w:val="19"/>
                <w:szCs w:val="19"/>
              </w:rPr>
              <w:t xml:space="preserve">Celý obvod je napájaný z 9 V batérie — nehrozí žiadne riziko úrazu elektrickým prúdom. Pri spájkovaní dodržujte bežné zásady (horúci spájkovač, vetranie, okuliare). Tranzistor a cievka čítačky sa môžu pri dlhšej prevádzke mierne zahrievať — obvod nenechávajte zapnutý bez dozoru a po meraní ho vypnite.</w:t>
            </w:r>
          </w:p>
        </w:tc>
      </w:tr>
    </w:tbl>
    <w:p>
      <w:pPr>
        <w:spacing w:after="220" w:line="300"/>
      </w:pPr>
      <w:r>
        <w:rPr>
          <w:rFonts w:ascii="Calibri" w:cs="Calibri" w:eastAsia="Calibri" w:hAnsi="Calibri"/>
          <w:b w:val="false"/>
          <w:bCs w:val="false"/>
          <w:i/>
          <w:iCs/>
          <w:color w:val="5B6B78"/>
          <w:sz w:val="19"/>
          <w:szCs w:val="19"/>
        </w:rPr>
        <w:t xml:space="preserve">Cvičenie je rozdelené na dva vyučovacie bloky: v Bloku 1 postavíte a odladíte čítačku a vypočítate si ladiacu kapacitu vlastného tagu; v Bloku 2 tag postavíte podľa vlastného výpočtu, overíte funkčnosť a urobíte dva doplnkové experimenty.</w:t>
      </w:r>
    </w:p>
    <w:p>
      <w:pPr>
        <w:pStyle w:val="Heading1"/>
        <w:pBdr>
          <w:bottom w:val="single" w:color="263543" w:sz="10" w:space="8"/>
        </w:pBdr>
        <w:spacing w:after="20" w:before="380"/>
      </w:pPr>
      <w:r>
        <w:rPr>
          <w:rFonts w:ascii="Cambria" w:cs="Cambria" w:eastAsia="Cambria" w:hAnsi="Cambria"/>
          <w:b/>
          <w:bCs/>
          <w:color w:val="263543"/>
          <w:sz w:val="30"/>
          <w:szCs w:val="30"/>
        </w:rPr>
        <w:t xml:space="preserve">Blok 1 — Čítačka a výpočet ladenia tagu</w:t>
      </w:r>
    </w:p>
    <w:p>
      <w:pPr>
        <w:spacing w:after="150"/>
      </w:pPr>
      <w:r>
        <w:rPr>
          <w:rFonts w:ascii="Calibri" w:cs="Calibri" w:eastAsia="Calibri" w:hAnsi="Calibri"/>
          <w:b/>
          <w:bCs/>
          <w:i/>
          <w:iCs/>
          <w:color w:val="5B7B93"/>
          <w:sz w:val="19"/>
          <w:szCs w:val="19"/>
        </w:rPr>
        <w:t xml:space="preserve">⏱ cca 45 minút</w:t>
      </w:r>
    </w:p>
    <w:p>
      <w:pPr>
        <w:pStyle w:val="Heading2"/>
        <w:spacing w:after="100" w:before="200"/>
      </w:pPr>
      <w:r>
        <w:rPr>
          <w:rFonts w:ascii="Cambria" w:cs="Cambria" w:eastAsia="Cambria" w:hAnsi="Cambria"/>
          <w:b/>
          <w:bCs/>
          <w:color w:val="5B7B93"/>
          <w:sz w:val="21"/>
          <w:szCs w:val="21"/>
        </w:rPr>
        <w:t xml:space="preserve">Súčiastky — čítačka (vysielač)</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2150"/>
        <w:gridCol w:w="4800"/>
      </w:tblGrid>
      <w:tr>
        <w:trPr>
          <w:tblHeader/>
        </w:trPr>
        <w:tc>
          <w:tcPr>
            <w:tcW w:type="dxa" w:w="2400"/>
            <w:shd w:fill="5B7B93" w:val="clear"/>
            <w:tcMar>
              <w:top w:type="dxa" w:w="100"/>
              <w:left w:type="dxa" w:w="130"/>
              <w:bottom w:type="dxa" w:w="100"/>
              <w:right w:type="dxa" w:w="130"/>
            </w:tcMar>
            <w:vAlign w:val="center"/>
          </w:tcPr>
          <w:p>
            <w:pPr>
              <w:spacing w:after="0" w:line="280"/>
              <w:jc w:val="left"/>
            </w:pPr>
            <w:r>
              <w:rPr>
                <w:rFonts w:ascii="Calibri" w:cs="Calibri" w:eastAsia="Calibri" w:hAnsi="Calibri"/>
                <w:b/>
                <w:bCs/>
                <w:color w:val="FFFFFF"/>
                <w:sz w:val="19"/>
                <w:szCs w:val="19"/>
              </w:rPr>
              <w:t xml:space="preserve">Súčiastka</w:t>
            </w:r>
          </w:p>
        </w:tc>
        <w:tc>
          <w:tcPr>
            <w:tcW w:type="dxa" w:w="2150"/>
            <w:shd w:fill="5B7B93" w:val="clear"/>
            <w:tcMar>
              <w:top w:type="dxa" w:w="100"/>
              <w:left w:type="dxa" w:w="130"/>
              <w:bottom w:type="dxa" w:w="100"/>
              <w:right w:type="dxa" w:w="130"/>
            </w:tcMar>
            <w:vAlign w:val="center"/>
          </w:tcPr>
          <w:p>
            <w:pPr>
              <w:spacing w:after="0" w:line="280"/>
              <w:jc w:val="left"/>
            </w:pPr>
            <w:r>
              <w:rPr>
                <w:rFonts w:ascii="Calibri" w:cs="Calibri" w:eastAsia="Calibri" w:hAnsi="Calibri"/>
                <w:b/>
                <w:bCs/>
                <w:color w:val="FFFFFF"/>
                <w:sz w:val="19"/>
                <w:szCs w:val="19"/>
              </w:rPr>
              <w:t xml:space="preserve">Hodnota / typ</w:t>
            </w:r>
          </w:p>
        </w:tc>
        <w:tc>
          <w:tcPr>
            <w:tcW w:type="dxa" w:w="4800"/>
            <w:shd w:fill="5B7B93" w:val="clear"/>
            <w:tcMar>
              <w:top w:type="dxa" w:w="100"/>
              <w:left w:type="dxa" w:w="130"/>
              <w:bottom w:type="dxa" w:w="100"/>
              <w:right w:type="dxa" w:w="130"/>
            </w:tcMar>
            <w:vAlign w:val="center"/>
          </w:tcPr>
          <w:p>
            <w:pPr>
              <w:spacing w:after="0" w:line="280"/>
              <w:jc w:val="left"/>
            </w:pPr>
            <w:r>
              <w:rPr>
                <w:rFonts w:ascii="Calibri" w:cs="Calibri" w:eastAsia="Calibri" w:hAnsi="Calibri"/>
                <w:b/>
                <w:bCs/>
                <w:color w:val="FFFFFF"/>
                <w:sz w:val="19"/>
                <w:szCs w:val="19"/>
              </w:rPr>
              <w:t xml:space="preserve">Poznámka</w:t>
            </w:r>
          </w:p>
        </w:tc>
      </w:tr>
      <w:tr>
        <w:tc>
          <w:tcPr>
            <w:tcW w:type="dxa" w:w="24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IO1</w:t>
            </w:r>
          </w:p>
        </w:tc>
        <w:tc>
          <w:tcPr>
            <w:tcW w:type="dxa" w:w="215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NE555</w:t>
            </w:r>
          </w:p>
        </w:tc>
        <w:tc>
          <w:tcPr>
            <w:tcW w:type="dxa" w:w="48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časovač v zapojení astabilný multivibrátor</w:t>
            </w:r>
          </w:p>
        </w:tc>
      </w:tr>
      <w:tr>
        <w:tc>
          <w:tcPr>
            <w:tcW w:type="dxa" w:w="240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R1</w:t>
            </w:r>
          </w:p>
        </w:tc>
        <w:tc>
          <w:tcPr>
            <w:tcW w:type="dxa" w:w="215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1,3 kΩ</w:t>
            </w:r>
          </w:p>
        </w:tc>
        <w:tc>
          <w:tcPr>
            <w:tcW w:type="dxa" w:w="480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spolu s R2, C dáva f ≈ 125 kHz</w:t>
            </w:r>
          </w:p>
        </w:tc>
      </w:tr>
      <w:tr>
        <w:tc>
          <w:tcPr>
            <w:tcW w:type="dxa" w:w="24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R2</w:t>
            </w:r>
          </w:p>
        </w:tc>
        <w:tc>
          <w:tcPr>
            <w:tcW w:type="dxa" w:w="215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5,1 kΩ</w:t>
            </w:r>
          </w:p>
        </w:tc>
        <w:tc>
          <w:tcPr>
            <w:tcW w:type="dxa" w:w="48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f = 1,44 / ((R1 + 2·R2) · C)</w:t>
            </w:r>
          </w:p>
        </w:tc>
      </w:tr>
      <w:tr>
        <w:tc>
          <w:tcPr>
            <w:tcW w:type="dxa" w:w="240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C</w:t>
            </w:r>
          </w:p>
        </w:tc>
        <w:tc>
          <w:tcPr>
            <w:tcW w:type="dxa" w:w="215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1 nF</w:t>
            </w:r>
          </w:p>
        </w:tc>
        <w:tc>
          <w:tcPr>
            <w:tcW w:type="dxa" w:w="480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časovací kondenzátor 555</w:t>
            </w:r>
          </w:p>
        </w:tc>
      </w:tr>
      <w:tr>
        <w:tc>
          <w:tcPr>
            <w:tcW w:type="dxa" w:w="24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Rb</w:t>
            </w:r>
          </w:p>
        </w:tc>
        <w:tc>
          <w:tcPr>
            <w:tcW w:type="dxa" w:w="215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1 kΩ</w:t>
            </w:r>
          </w:p>
        </w:tc>
        <w:tc>
          <w:tcPr>
            <w:tcW w:type="dxa" w:w="48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bázový rezistor tranzistora Q1</w:t>
            </w:r>
          </w:p>
        </w:tc>
      </w:tr>
      <w:tr>
        <w:tc>
          <w:tcPr>
            <w:tcW w:type="dxa" w:w="240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Q1</w:t>
            </w:r>
          </w:p>
        </w:tc>
        <w:tc>
          <w:tcPr>
            <w:tcW w:type="dxa" w:w="215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NPN spínací tranzistor (napr. BC337, BD139)</w:t>
            </w:r>
          </w:p>
        </w:tc>
        <w:tc>
          <w:tcPr>
            <w:tcW w:type="dxa" w:w="480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min. 0,5 A, spína prúd cievkou</w:t>
            </w:r>
          </w:p>
        </w:tc>
      </w:tr>
      <w:tr>
        <w:tc>
          <w:tcPr>
            <w:tcW w:type="dxa" w:w="24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L (anténa)</w:t>
            </w:r>
          </w:p>
        </w:tc>
        <w:tc>
          <w:tcPr>
            <w:tcW w:type="dxa" w:w="215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 330 µH (≈ 50–70 z. Ø0,3–0,5 mm na kotúči/rúrke Ø6–8 cm)</w:t>
            </w:r>
          </w:p>
        </w:tc>
        <w:tc>
          <w:tcPr>
            <w:tcW w:type="dxa" w:w="48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skutočnú L odporúčame overiť LCR metrom</w:t>
            </w:r>
          </w:p>
        </w:tc>
      </w:tr>
      <w:tr>
        <w:tc>
          <w:tcPr>
            <w:tcW w:type="dxa" w:w="240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Cs</w:t>
            </w:r>
          </w:p>
        </w:tc>
        <w:tc>
          <w:tcPr>
            <w:tcW w:type="dxa" w:w="215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 4,7 nF</w:t>
            </w:r>
          </w:p>
        </w:tc>
        <w:tc>
          <w:tcPr>
            <w:tcW w:type="dxa" w:w="480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sériový ladiaci C — L a Cs v SÉRII (nie paralelne!)</w:t>
            </w:r>
          </w:p>
        </w:tc>
      </w:tr>
      <w:tr>
        <w:tc>
          <w:tcPr>
            <w:tcW w:type="dxa" w:w="24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w:t>
            </w:r>
          </w:p>
        </w:tc>
        <w:tc>
          <w:tcPr>
            <w:tcW w:type="dxa" w:w="215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9 V batéria + klipsňa, nepájivé pole, vodiče</w:t>
            </w:r>
          </w:p>
        </w:tc>
        <w:tc>
          <w:tcPr>
            <w:tcW w:type="dxa" w:w="4800"/>
            <w:shd w:fill="EEF2F5" w:val="clear"/>
            <w:tcMar>
              <w:top w:type="dxa" w:w="100"/>
              <w:left w:type="dxa" w:w="130"/>
              <w:bottom w:type="dxa" w:w="100"/>
              <w:right w:type="dxa" w:w="130"/>
            </w:tcMar>
            <w:vAlign w:val="center"/>
          </w:tcPr>
          <w:p>
            <w:pPr>
              <w:spacing w:after="0" w:line="280"/>
              <w:jc w:val="left"/>
            </w:pPr>
          </w:p>
        </w:tc>
      </w:tr>
    </w:tbl>
    <w:p>
      <w:pPr>
        <w:spacing w:after="200"/>
      </w:pPr>
    </w:p>
    <w:p>
      <w:pPr>
        <w:pStyle w:val="Heading2"/>
        <w:spacing w:after="100" w:before="200"/>
      </w:pPr>
      <w:r>
        <w:rPr>
          <w:rFonts w:ascii="Cambria" w:cs="Cambria" w:eastAsia="Cambria" w:hAnsi="Cambria"/>
          <w:b/>
          <w:bCs/>
          <w:color w:val="5B7B93"/>
          <w:sz w:val="21"/>
          <w:szCs w:val="21"/>
        </w:rPr>
        <w:t xml:space="preserve">Schéma zapojenia — čítačka</w:t>
      </w:r>
    </w:p>
    <w:p>
      <w:pPr>
        <w:spacing w:after="140" w:line="300"/>
      </w:pPr>
      <w:r>
        <w:rPr>
          <w:rFonts w:ascii="Calibri" w:cs="Calibri" w:eastAsia="Calibri" w:hAnsi="Calibri"/>
          <w:b w:val="false"/>
          <w:bCs w:val="false"/>
          <w:i w:val="false"/>
          <w:iCs w:val="false"/>
          <w:color w:val="1A1A1A"/>
          <w:sz w:val="21"/>
          <w:szCs w:val="21"/>
        </w:rPr>
        <w:t xml:space="preserve">555 v zapojení astabilný multivibrátor generuje na výstupe OUT pravouhlý signál s frekvenciou f ≈ 125 kHz, ktorý cez rezistor Rb spína tranzistor Q1. Ten pri každom spínacom impulze „kopne“ prúd cez anténu L zapojenú v SÉRII s kondenzátorom Cs. Pretože L a Cs sú naladené na sériovú rezonanciu presne na f₀, je impedancia tejto vetvy na f₀ minimálna — cez cievku tak tečie prekvapivo veľký striedavý prúd aj z malého budiaceho napätia. To je rovnaký princíp, aký používajú aj reálne 125 kHz RFID driver obvody (napr. U2270B, EM4095).</w:t>
      </w:r>
    </w:p>
    <w:p>
      <w:pPr>
        <w:spacing w:after="140" w:before="100"/>
        <w:jc w:val="center"/>
      </w:pPr>
      <w:r>
        <w:drawing>
          <wp:inline distT="0" distB="0" distL="0" distR="0">
            <wp:extent cx="4105275"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05275" cy="2609850"/>
                    </a:xfrm>
                    <a:prstGeom prst="rect">
                      <a:avLst/>
                    </a:prstGeom>
                  </pic:spPr>
                </pic:pic>
              </a:graphicData>
            </a:graphic>
          </wp:inline>
        </w:drawing>
      </w:r>
    </w:p>
    <w:p>
      <w:pPr>
        <w:spacing w:after="220" w:line="300"/>
      </w:pPr>
      <w:r>
        <w:rPr>
          <w:rFonts w:ascii="Calibri" w:cs="Calibri" w:eastAsia="Calibri" w:hAnsi="Calibri"/>
          <w:b w:val="false"/>
          <w:bCs w:val="false"/>
          <w:i/>
          <w:iCs/>
          <w:color w:val="5B6B78"/>
          <w:sz w:val="17"/>
          <w:szCs w:val="17"/>
        </w:rPr>
        <w:t xml:space="preserve">Obr. 1 — 555 astabilný oscilátor + tranzistorový spínač budiaci sériovo rezonančnú anténu.</w:t>
      </w:r>
    </w:p>
    <w:p>
      <w:pPr>
        <w:pStyle w:val="Heading2"/>
        <w:spacing w:after="100" w:before="200"/>
      </w:pPr>
      <w:r>
        <w:rPr>
          <w:rFonts w:ascii="Cambria" w:cs="Cambria" w:eastAsia="Cambria" w:hAnsi="Cambria"/>
          <w:b/>
          <w:bCs/>
          <w:color w:val="5B7B93"/>
          <w:sz w:val="21"/>
          <w:szCs w:val="21"/>
        </w:rPr>
        <w:t xml:space="preserve">Postup — stavba a overenie čítačky</w:t>
      </w:r>
    </w:p>
    <w:p>
      <w:pPr>
        <w:pStyle w:val="ListParagraph"/>
        <w:numPr>
          <w:ilvl w:val="0"/>
          <w:numId w:val="2"/>
        </w:numPr>
        <w:spacing w:after="120" w:line="300"/>
      </w:pPr>
      <w:r>
        <w:rPr>
          <w:rFonts w:ascii="Calibri" w:cs="Calibri" w:eastAsia="Calibri" w:hAnsi="Calibri"/>
          <w:color w:val="1A1A1A"/>
          <w:sz w:val="21"/>
          <w:szCs w:val="21"/>
        </w:rPr>
        <w:t xml:space="preserve">Zostavte čítačku (555 + R1, R2, C, Rb, Q1) na nepájivom poli podľa schémy na Obr. 1.</w:t>
      </w:r>
    </w:p>
    <w:p>
      <w:pPr>
        <w:pStyle w:val="ListParagraph"/>
        <w:numPr>
          <w:ilvl w:val="0"/>
          <w:numId w:val="2"/>
        </w:numPr>
        <w:spacing w:after="120" w:line="300"/>
      </w:pPr>
      <w:r>
        <w:rPr>
          <w:rFonts w:ascii="Calibri" w:cs="Calibri" w:eastAsia="Calibri" w:hAnsi="Calibri"/>
          <w:color w:val="1A1A1A"/>
          <w:sz w:val="21"/>
          <w:szCs w:val="21"/>
        </w:rPr>
        <w:t xml:space="preserve">Overte frekvenciu na pine OUT osciloskopom alebo frekvenčným čítačom — ak sa líši od 125 kHz, jemne dolaďte R2.</w:t>
      </w:r>
    </w:p>
    <w:p>
      <w:pPr>
        <w:pStyle w:val="ListParagraph"/>
        <w:numPr>
          <w:ilvl w:val="0"/>
          <w:numId w:val="2"/>
        </w:numPr>
        <w:spacing w:after="120" w:line="300"/>
      </w:pPr>
      <w:r>
        <w:rPr>
          <w:rFonts w:ascii="Calibri" w:cs="Calibri" w:eastAsia="Calibri" w:hAnsi="Calibri"/>
          <w:color w:val="1A1A1A"/>
          <w:sz w:val="21"/>
          <w:szCs w:val="21"/>
        </w:rPr>
        <w:t xml:space="preserve">Navinte anténu čítačky, zapojte ju do série s Cs medzi VCC a kolektor Q1. Ak je to možné, overte na osciloskope, že cez cievku tečie striedavý prúd na frekvencii f₀ (napr. meraním úbytku napätia na malom sériovom rezistore, ak ho do obvodu pridáte).</w:t>
      </w:r>
    </w:p>
    <w:p>
      <w:pPr>
        <w:spacing w:after="120"/>
      </w:pPr>
    </w:p>
    <w:p>
      <w:pPr>
        <w:pStyle w:val="Heading2"/>
        <w:spacing w:after="100" w:before="200"/>
      </w:pPr>
      <w:r>
        <w:rPr>
          <w:rFonts w:ascii="Cambria" w:cs="Cambria" w:eastAsia="Cambria" w:hAnsi="Cambria"/>
          <w:b/>
          <w:bCs/>
          <w:color w:val="5B7B93"/>
          <w:sz w:val="21"/>
          <w:szCs w:val="21"/>
        </w:rPr>
        <w:t xml:space="preserve">Úloha A — Vypočítajte ladiacu kapacitu vlastného tagu</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EEF2F5" w:val="clear"/>
            <w:tcMar>
              <w:top w:type="dxa" w:w="180"/>
              <w:left w:type="dxa" w:w="220"/>
              <w:bottom w:type="dxa" w:w="180"/>
              <w:right w:type="dxa" w:w="220"/>
            </w:tcMar>
          </w:tcPr>
          <w:p>
            <w:pPr>
              <w:spacing w:after="0" w:line="300"/>
            </w:pPr>
            <w:r>
              <w:rPr>
                <w:rFonts w:ascii="Calibri" w:cs="Calibri" w:eastAsia="Calibri" w:hAnsi="Calibri"/>
                <w:color w:val="1A1A1A"/>
                <w:sz w:val="21"/>
                <w:szCs w:val="21"/>
              </w:rPr>
              <w:t xml:space="preserve">Navinte si cievku tagu (podľa receptu nižšie) a zmerajte jej skutočnú indukčnosť L na LCR metri. Reálna cievka sa od teoretickej hodnoty vždy trochu líši — počítajte preto s vašou NAMERANOU hodnotou, nie s hodnotou „z tabuľky“. Akú kapacitu C musí mať ladiaci kondenzátor, aby váš L ∥ C obvod rezonoval presne na frekvenciu čítačky f₀ = 125 kHz?</w:t>
            </w:r>
          </w:p>
        </w:tc>
      </w:tr>
    </w:tbl>
    <w:p>
      <w:pPr>
        <w:spacing w:after="160"/>
      </w:pPr>
    </w:p>
    <w:p>
      <w:pPr>
        <w:spacing w:after="140" w:line="300"/>
      </w:pPr>
      <w:r>
        <w:rPr>
          <w:rFonts w:ascii="Calibri" w:cs="Calibri" w:eastAsia="Calibri" w:hAnsi="Calibri"/>
          <w:b w:val="false"/>
          <w:bCs w:val="false"/>
          <w:i/>
          <w:iCs/>
          <w:color w:val="5B6B78"/>
          <w:sz w:val="19"/>
          <w:szCs w:val="19"/>
        </w:rPr>
        <w:t xml:space="preserve">Recept na cievku tagu: ≈ 200–300 závitov smaltovaného drôtu Ø0,1–0,2 mm navinutých na feritovej tyčinke (napr. zo starého AM/FM rádia). Takto navinutá cievka má typicky L rádovo v jednotkách mH.</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none"/>
              <w:left w:val="none"/>
              <w:bottom w:val="single" w:color="9FB3C2" w:sz="4"/>
              <w:right w:val="none"/>
            </w:tcBorders>
            <w:tcMar>
              <w:top w:type="dxa" w:w="60"/>
              <w:left w:type="dxa" w:w="0"/>
              <w:bottom w:type="dxa" w:w="100"/>
              <w:right w:type="dxa" w:w="200"/>
            </w:tcMar>
          </w:tcPr>
          <w:p>
            <w:r>
              <w:rPr>
                <w:rFonts w:ascii="Calibri" w:cs="Calibri" w:eastAsia="Calibri" w:hAnsi="Calibri"/>
                <w:color w:val="5B6B78"/>
                <w:sz w:val="19"/>
                <w:szCs w:val="19"/>
              </w:rPr>
              <w:t xml:space="preserve">Nameraná L (LCR meter): L ≈ ................... mH</w:t>
            </w:r>
          </w:p>
        </w:tc>
        <w:tc>
          <w:tcPr>
            <w:tcW w:type="dxa" w:w="4675"/>
            <w:tcBorders>
              <w:top w:val="none"/>
              <w:left w:val="none"/>
              <w:bottom w:val="single" w:color="9FB3C2" w:sz="4"/>
              <w:right w:val="none"/>
            </w:tcBorders>
            <w:tcMar>
              <w:top w:type="dxa" w:w="60"/>
              <w:left w:type="dxa" w:w="0"/>
              <w:bottom w:type="dxa" w:w="100"/>
              <w:right w:type="dxa" w:w="200"/>
            </w:tcMar>
          </w:tcPr>
          <w:p/>
        </w:tc>
      </w:tr>
    </w:tbl>
    <w:p>
      <w:pPr>
        <w:spacing w:after="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E4EBF0" w:val="clear"/>
            <w:tcMar>
              <w:top w:type="dxa" w:w="180"/>
              <w:left w:type="dxa" w:w="220"/>
              <w:bottom w:type="dxa" w:w="180"/>
              <w:right w:type="dxa" w:w="220"/>
            </w:tcMar>
          </w:tcPr>
          <w:p>
            <w:pPr>
              <w:spacing w:after="0" w:line="300"/>
            </w:pPr>
            <w:r>
              <w:rPr>
                <w:rFonts w:ascii="Calibri" w:cs="Calibri" w:eastAsia="Calibri" w:hAnsi="Calibri"/>
                <w:b/>
                <w:bCs/>
                <w:color w:val="263543"/>
                <w:sz w:val="20"/>
                <w:szCs w:val="20"/>
              </w:rPr>
              <w:t xml:space="preserve">Dané: </w:t>
            </w:r>
            <w:r>
              <w:rPr>
                <w:rFonts w:ascii="Calibri" w:cs="Calibri" w:eastAsia="Calibri" w:hAnsi="Calibri"/>
                <w:color w:val="1A1A1A"/>
                <w:sz w:val="20"/>
                <w:szCs w:val="20"/>
              </w:rPr>
              <w:t xml:space="preserve">f₀ = 125 kHz,  L = (vaša nameraná hodnota; ak LCR meter nemáte k dispozícii, použite orientačne L ≈ 4,7 mH)</w:t>
            </w:r>
          </w:p>
        </w:tc>
      </w:tr>
    </w:tbl>
    <w:p>
      <w:pPr>
        <w:spacing w:after="160"/>
      </w:pPr>
    </w:p>
    <w:p>
      <w:pPr>
        <w:spacing w:after="100" w:line="300"/>
      </w:pPr>
      <w:r>
        <w:rPr>
          <w:rFonts w:ascii="Calibri" w:cs="Calibri" w:eastAsia="Calibri" w:hAnsi="Calibri"/>
          <w:b w:val="false"/>
          <w:bCs w:val="false"/>
          <w:i/>
          <w:iCs/>
          <w:color w:val="5B6B78"/>
          <w:sz w:val="19"/>
          <w:szCs w:val="19"/>
        </w:rPr>
        <w:t xml:space="preserve">Postup: vyjadrite C zo vzorca f₀ = 1 / (2π√(LC)) a dosaďte vašu nameranú L (rovnaký postup ako Úloha 1 v pracovnom liste).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none"/>
              <w:left w:val="none"/>
              <w:bottom w:val="single" w:color="9FB3C2" w:sz="4"/>
              <w:right w:val="none"/>
            </w:tcBorders>
            <w:tcMar>
              <w:top w:type="dxa" w:w="60"/>
              <w:left w:type="dxa" w:w="0"/>
              <w:bottom w:type="dxa" w:w="100"/>
              <w:right w:type="dxa" w:w="200"/>
            </w:tcMar>
          </w:tcPr>
          <w:p/>
        </w:tc>
      </w:tr>
      <w:tr>
        <w:tc>
          <w:tcPr>
            <w:tcW w:type="dxa" w:w="9350"/>
            <w:tcBorders>
              <w:top w:val="none"/>
              <w:left w:val="none"/>
              <w:bottom w:val="single" w:color="9FB3C2" w:sz="4"/>
              <w:right w:val="none"/>
            </w:tcBorders>
            <w:tcMar>
              <w:top w:type="dxa" w:w="60"/>
              <w:left w:type="dxa" w:w="0"/>
              <w:bottom w:type="dxa" w:w="100"/>
              <w:right w:type="dxa" w:w="200"/>
            </w:tcMar>
          </w:tcPr>
          <w:p/>
        </w:tc>
      </w:tr>
      <w:tr>
        <w:tc>
          <w:tcPr>
            <w:tcW w:type="dxa" w:w="9350"/>
            <w:tcBorders>
              <w:top w:val="none"/>
              <w:left w:val="none"/>
              <w:bottom w:val="single" w:color="9FB3C2" w:sz="4"/>
              <w:right w:val="none"/>
            </w:tcBorders>
            <w:tcMar>
              <w:top w:type="dxa" w:w="60"/>
              <w:left w:type="dxa" w:w="0"/>
              <w:bottom w:type="dxa" w:w="100"/>
              <w:right w:type="dxa" w:w="200"/>
            </w:tcMar>
          </w:tcPr>
          <w:p/>
        </w:tc>
      </w:tr>
      <w:tr>
        <w:tc>
          <w:tcPr>
            <w:tcW w:type="dxa" w:w="9350"/>
            <w:tcBorders>
              <w:top w:val="none"/>
              <w:left w:val="none"/>
              <w:bottom w:val="single" w:color="9FB3C2" w:sz="4"/>
              <w:right w:val="none"/>
            </w:tcBorders>
            <w:tcMar>
              <w:top w:type="dxa" w:w="60"/>
              <w:left w:type="dxa" w:w="0"/>
              <w:bottom w:type="dxa" w:w="100"/>
              <w:right w:type="dxa" w:w="200"/>
            </w:tcMar>
          </w:tcPr>
          <w:p/>
        </w:tc>
      </w:tr>
      <w:tr>
        <w:tc>
          <w:tcPr>
            <w:tcW w:type="dxa" w:w="9350"/>
            <w:tcBorders>
              <w:top w:val="none"/>
              <w:left w:val="none"/>
              <w:bottom w:val="single" w:color="9FB3C2" w:sz="4"/>
              <w:right w:val="none"/>
            </w:tcBorders>
            <w:tcMar>
              <w:top w:type="dxa" w:w="60"/>
              <w:left w:type="dxa" w:w="0"/>
              <w:bottom w:type="dxa" w:w="100"/>
              <w:right w:type="dxa" w:w="200"/>
            </w:tcMar>
          </w:tcP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none"/>
              <w:left w:val="none"/>
              <w:bottom w:val="single" w:color="9FB3C2" w:sz="4"/>
              <w:right w:val="none"/>
            </w:tcBorders>
            <w:tcMar>
              <w:top w:type="dxa" w:w="60"/>
              <w:left w:type="dxa" w:w="0"/>
              <w:bottom w:type="dxa" w:w="100"/>
              <w:right w:type="dxa" w:w="200"/>
            </w:tcMar>
          </w:tcPr>
          <w:p>
            <w:r>
              <w:rPr>
                <w:rFonts w:ascii="Calibri" w:cs="Calibri" w:eastAsia="Calibri" w:hAnsi="Calibri"/>
                <w:color w:val="5B6B78"/>
                <w:sz w:val="19"/>
                <w:szCs w:val="19"/>
              </w:rPr>
              <w:t xml:space="preserve">Vypočítané: C ≈ ................... pF</w:t>
            </w:r>
          </w:p>
        </w:tc>
        <w:tc>
          <w:tcPr>
            <w:tcW w:type="dxa" w:w="4675"/>
            <w:tcBorders>
              <w:top w:val="none"/>
              <w:left w:val="none"/>
              <w:bottom w:val="single" w:color="9FB3C2" w:sz="4"/>
              <w:right w:val="none"/>
            </w:tcBorders>
            <w:tcMar>
              <w:top w:type="dxa" w:w="60"/>
              <w:left w:type="dxa" w:w="0"/>
              <w:bottom w:type="dxa" w:w="100"/>
              <w:right w:type="dxa" w:w="200"/>
            </w:tcMar>
          </w:tcPr>
          <w:p>
            <w:r>
              <w:rPr>
                <w:rFonts w:ascii="Calibri" w:cs="Calibri" w:eastAsia="Calibri" w:hAnsi="Calibri"/>
                <w:color w:val="5B6B78"/>
                <w:sz w:val="19"/>
                <w:szCs w:val="19"/>
              </w:rPr>
              <w:t xml:space="preserve">Najbližšia dostupná hodnota z radu: C ≈ ................... pF</w:t>
            </w:r>
          </w:p>
        </w:tc>
      </w:tr>
    </w:tbl>
    <w:p>
      <w:pPr>
        <w:spacing w:after="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E4EBF0" w:val="clear"/>
            <w:tcMar>
              <w:top w:type="dxa" w:w="180"/>
              <w:left w:type="dxa" w:w="220"/>
              <w:bottom w:type="dxa" w:w="180"/>
              <w:right w:type="dxa" w:w="220"/>
            </w:tcMar>
          </w:tcPr>
          <w:p>
            <w:pPr>
              <w:spacing w:after="60" w:line="300"/>
            </w:pPr>
            <w:r>
              <w:rPr>
                <w:rFonts w:ascii="Calibri" w:cs="Calibri" w:eastAsia="Calibri" w:hAnsi="Calibri"/>
                <w:b/>
                <w:bCs/>
                <w:color w:val="263543"/>
                <w:sz w:val="20"/>
                <w:szCs w:val="20"/>
              </w:rPr>
              <w:t xml:space="preserve">Príprava na Blok 2</w:t>
            </w:r>
          </w:p>
          <w:p>
            <w:pPr>
              <w:spacing w:after="0" w:line="300"/>
            </w:pPr>
            <w:r>
              <w:rPr>
                <w:rFonts w:ascii="Calibri" w:cs="Calibri" w:eastAsia="Calibri" w:hAnsi="Calibri"/>
                <w:b w:val="false"/>
                <w:bCs w:val="false"/>
                <w:i w:val="false"/>
                <w:iCs w:val="false"/>
                <w:color w:val="1A1A1A"/>
                <w:sz w:val="19"/>
                <w:szCs w:val="19"/>
              </w:rPr>
              <w:t xml:space="preserve">Ak vám v Bloku 1 zostane čas, navinte si rovno aj cievku tagu — ušetríte si čas v Bloku 2. Podľa vypočítanej hodnoty C si pripravte 2–3 najbližšie dostupné kondenzátory z radu E12 (napr. ak vyjde C ≈ 340 pF, prineste si 330 pF aj 360 pF) — presná hodnota sa bežne dolaďuje experimentálne, keďže skutočná L aj parazitné kapacity sa mierne líšia od výpočtu.</w:t>
            </w:r>
          </w:p>
        </w:tc>
      </w:tr>
    </w:tbl>
    <w:p>
      <w:pPr>
        <w:pStyle w:val="Heading1"/>
        <w:pBdr>
          <w:bottom w:val="single" w:color="263543" w:sz="10" w:space="8"/>
        </w:pBdr>
        <w:spacing w:after="20" w:before="380"/>
      </w:pPr>
      <w:r>
        <w:rPr>
          <w:rFonts w:ascii="Cambria" w:cs="Cambria" w:eastAsia="Cambria" w:hAnsi="Cambria"/>
          <w:b/>
          <w:bCs/>
          <w:color w:val="263543"/>
          <w:sz w:val="30"/>
          <w:szCs w:val="30"/>
        </w:rPr>
        <w:t xml:space="preserve">Blok 2 — Stavba tagu, meranie a experimenty</w:t>
      </w:r>
    </w:p>
    <w:p>
      <w:pPr>
        <w:spacing w:after="150"/>
      </w:pPr>
      <w:r>
        <w:rPr>
          <w:rFonts w:ascii="Calibri" w:cs="Calibri" w:eastAsia="Calibri" w:hAnsi="Calibri"/>
          <w:b/>
          <w:bCs/>
          <w:i/>
          <w:iCs/>
          <w:color w:val="5B7B93"/>
          <w:sz w:val="19"/>
          <w:szCs w:val="19"/>
        </w:rPr>
        <w:t xml:space="preserve">⏱ cca 45 minút</w:t>
      </w:r>
    </w:p>
    <w:p>
      <w:pPr>
        <w:pStyle w:val="Heading2"/>
        <w:spacing w:after="100" w:before="200"/>
      </w:pPr>
      <w:r>
        <w:rPr>
          <w:rFonts w:ascii="Cambria" w:cs="Cambria" w:eastAsia="Cambria" w:hAnsi="Cambria"/>
          <w:b/>
          <w:bCs/>
          <w:color w:val="5B7B93"/>
          <w:sz w:val="21"/>
          <w:szCs w:val="21"/>
        </w:rPr>
        <w:t xml:space="preserve">Súčiastky — tag (prijímač)</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2150"/>
        <w:gridCol w:w="4800"/>
      </w:tblGrid>
      <w:tr>
        <w:trPr>
          <w:tblHeader/>
        </w:trPr>
        <w:tc>
          <w:tcPr>
            <w:tcW w:type="dxa" w:w="2400"/>
            <w:shd w:fill="5B7B93" w:val="clear"/>
            <w:tcMar>
              <w:top w:type="dxa" w:w="100"/>
              <w:left w:type="dxa" w:w="130"/>
              <w:bottom w:type="dxa" w:w="100"/>
              <w:right w:type="dxa" w:w="130"/>
            </w:tcMar>
            <w:vAlign w:val="center"/>
          </w:tcPr>
          <w:p>
            <w:pPr>
              <w:spacing w:after="0" w:line="280"/>
              <w:jc w:val="left"/>
            </w:pPr>
            <w:r>
              <w:rPr>
                <w:rFonts w:ascii="Calibri" w:cs="Calibri" w:eastAsia="Calibri" w:hAnsi="Calibri"/>
                <w:b/>
                <w:bCs/>
                <w:color w:val="FFFFFF"/>
                <w:sz w:val="19"/>
                <w:szCs w:val="19"/>
              </w:rPr>
              <w:t xml:space="preserve">Súčiastka</w:t>
            </w:r>
          </w:p>
        </w:tc>
        <w:tc>
          <w:tcPr>
            <w:tcW w:type="dxa" w:w="2150"/>
            <w:shd w:fill="5B7B93" w:val="clear"/>
            <w:tcMar>
              <w:top w:type="dxa" w:w="100"/>
              <w:left w:type="dxa" w:w="130"/>
              <w:bottom w:type="dxa" w:w="100"/>
              <w:right w:type="dxa" w:w="130"/>
            </w:tcMar>
            <w:vAlign w:val="center"/>
          </w:tcPr>
          <w:p>
            <w:pPr>
              <w:spacing w:after="0" w:line="280"/>
              <w:jc w:val="left"/>
            </w:pPr>
            <w:r>
              <w:rPr>
                <w:rFonts w:ascii="Calibri" w:cs="Calibri" w:eastAsia="Calibri" w:hAnsi="Calibri"/>
                <w:b/>
                <w:bCs/>
                <w:color w:val="FFFFFF"/>
                <w:sz w:val="19"/>
                <w:szCs w:val="19"/>
              </w:rPr>
              <w:t xml:space="preserve">Hodnota / typ</w:t>
            </w:r>
          </w:p>
        </w:tc>
        <w:tc>
          <w:tcPr>
            <w:tcW w:type="dxa" w:w="4800"/>
            <w:shd w:fill="5B7B93" w:val="clear"/>
            <w:tcMar>
              <w:top w:type="dxa" w:w="100"/>
              <w:left w:type="dxa" w:w="130"/>
              <w:bottom w:type="dxa" w:w="100"/>
              <w:right w:type="dxa" w:w="130"/>
            </w:tcMar>
            <w:vAlign w:val="center"/>
          </w:tcPr>
          <w:p>
            <w:pPr>
              <w:spacing w:after="0" w:line="280"/>
              <w:jc w:val="left"/>
            </w:pPr>
            <w:r>
              <w:rPr>
                <w:rFonts w:ascii="Calibri" w:cs="Calibri" w:eastAsia="Calibri" w:hAnsi="Calibri"/>
                <w:b/>
                <w:bCs/>
                <w:color w:val="FFFFFF"/>
                <w:sz w:val="19"/>
                <w:szCs w:val="19"/>
              </w:rPr>
              <w:t xml:space="preserve">Poznámka</w:t>
            </w:r>
          </w:p>
        </w:tc>
      </w:tr>
      <w:tr>
        <w:tc>
          <w:tcPr>
            <w:tcW w:type="dxa" w:w="24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L (anténa tagu)</w:t>
            </w:r>
          </w:p>
        </w:tc>
        <w:tc>
          <w:tcPr>
            <w:tcW w:type="dxa" w:w="215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vaša cievka z Bloku 1 (Úloha A)</w:t>
            </w:r>
          </w:p>
        </w:tc>
        <w:tc>
          <w:tcPr>
            <w:tcW w:type="dxa" w:w="48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hodnotu L ste si zmerali a zapísali v Úlohe A</w:t>
            </w:r>
          </w:p>
        </w:tc>
      </w:tr>
      <w:tr>
        <w:tc>
          <w:tcPr>
            <w:tcW w:type="dxa" w:w="240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C</w:t>
            </w:r>
          </w:p>
        </w:tc>
        <w:tc>
          <w:tcPr>
            <w:tcW w:type="dxa" w:w="215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vypočítaná v Úlohe A</w:t>
            </w:r>
          </w:p>
        </w:tc>
        <w:tc>
          <w:tcPr>
            <w:tcW w:type="dxa" w:w="480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najbližšia dostupná hodnota z radu E12</w:t>
            </w:r>
          </w:p>
        </w:tc>
      </w:tr>
      <w:tr>
        <w:tc>
          <w:tcPr>
            <w:tcW w:type="dxa" w:w="24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D1</w:t>
            </w:r>
          </w:p>
        </w:tc>
        <w:tc>
          <w:tcPr>
            <w:tcW w:type="dxa" w:w="215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Schottky (napr. BAT85) alebo Ge dióda (1N60)</w:t>
            </w:r>
          </w:p>
        </w:tc>
        <w:tc>
          <w:tcPr>
            <w:tcW w:type="dxa" w:w="48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nízky úbytok </w:t>
            </w:r>
            <w:r>
              <w:rPr>
                <w:rFonts w:ascii="Calibri" w:cs="Calibri" w:eastAsia="Calibri" w:hAnsi="Calibri"/>
                <w:b w:val="false"/>
                <w:bCs w:val="false"/>
                <w:color w:val="1A1A1A"/>
                <w:sz w:val="19"/>
                <w:szCs w:val="19"/>
              </w:rPr>
              <w:t xml:space="preserve">U</w:t>
            </w:r>
            <w:r>
              <w:rPr>
                <w:rFonts w:ascii="Calibri" w:cs="Calibri" w:eastAsia="Calibri" w:hAnsi="Calibri"/>
                <w:b w:val="false"/>
                <w:bCs w:val="false"/>
                <w:color w:val="1A1A1A"/>
                <w:sz w:val="19"/>
                <w:szCs w:val="19"/>
                <w:vertAlign w:val="subscript"/>
              </w:rPr>
              <w:t xml:space="preserve">D</w:t>
            </w:r>
            <w:r>
              <w:rPr>
                <w:rFonts w:ascii="Calibri" w:cs="Calibri" w:eastAsia="Calibri" w:hAnsi="Calibri"/>
                <w:b w:val="false"/>
                <w:bCs w:val="false"/>
                <w:color w:val="1A1A1A"/>
                <w:sz w:val="19"/>
                <w:szCs w:val="19"/>
              </w:rPr>
              <w:t xml:space="preserve"> — kremíková 1N4148 funguje, ale so stratou</w:t>
            </w:r>
          </w:p>
        </w:tc>
      </w:tr>
      <w:tr>
        <w:tc>
          <w:tcPr>
            <w:tcW w:type="dxa" w:w="240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C2</w:t>
            </w:r>
          </w:p>
        </w:tc>
        <w:tc>
          <w:tcPr>
            <w:tcW w:type="dxa" w:w="215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 10–100 nF</w:t>
            </w:r>
          </w:p>
        </w:tc>
        <w:tc>
          <w:tcPr>
            <w:tcW w:type="dxa" w:w="4800"/>
            <w:shd w:fill="FFFFFF"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vyhladzovací kondenzátor za usmerňovačom</w:t>
            </w:r>
          </w:p>
        </w:tc>
      </w:tr>
      <w:tr>
        <w:tc>
          <w:tcPr>
            <w:tcW w:type="dxa" w:w="24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bCs/>
                <w:color w:val="1A1A1A"/>
                <w:sz w:val="19"/>
                <w:szCs w:val="19"/>
              </w:rPr>
              <w:t xml:space="preserve">LED</w:t>
            </w:r>
          </w:p>
        </w:tc>
        <w:tc>
          <w:tcPr>
            <w:tcW w:type="dxa" w:w="215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štandardná červená (nízke </w:t>
            </w:r>
            <w:r>
              <w:rPr>
                <w:rFonts w:ascii="Calibri" w:cs="Calibri" w:eastAsia="Calibri" w:hAnsi="Calibri"/>
                <w:b w:val="false"/>
                <w:bCs w:val="false"/>
                <w:color w:val="1A1A1A"/>
                <w:sz w:val="19"/>
                <w:szCs w:val="19"/>
              </w:rPr>
              <w:t xml:space="preserve">U</w:t>
            </w:r>
            <w:r>
              <w:rPr>
                <w:rFonts w:ascii="Calibri" w:cs="Calibri" w:eastAsia="Calibri" w:hAnsi="Calibri"/>
                <w:b w:val="false"/>
                <w:bCs w:val="false"/>
                <w:color w:val="1A1A1A"/>
                <w:sz w:val="19"/>
                <w:szCs w:val="19"/>
                <w:vertAlign w:val="subscript"/>
              </w:rPr>
              <w:t xml:space="preserve">D</w:t>
            </w:r>
            <w:r>
              <w:rPr>
                <w:rFonts w:ascii="Calibri" w:cs="Calibri" w:eastAsia="Calibri" w:hAnsi="Calibri"/>
                <w:b w:val="false"/>
                <w:bCs w:val="false"/>
                <w:color w:val="1A1A1A"/>
                <w:sz w:val="19"/>
                <w:szCs w:val="19"/>
              </w:rPr>
              <w:t xml:space="preserve"> ≈ 1,8–2 V)</w:t>
            </w:r>
          </w:p>
        </w:tc>
        <w:tc>
          <w:tcPr>
            <w:tcW w:type="dxa" w:w="4800"/>
            <w:shd w:fill="EEF2F5" w:val="clear"/>
            <w:tcMar>
              <w:top w:type="dxa" w:w="100"/>
              <w:left w:type="dxa" w:w="130"/>
              <w:bottom w:type="dxa" w:w="100"/>
              <w:right w:type="dxa" w:w="130"/>
            </w:tcMar>
            <w:vAlign w:val="center"/>
          </w:tcPr>
          <w:p>
            <w:pPr>
              <w:spacing w:after="0" w:line="280"/>
              <w:jc w:val="left"/>
            </w:pPr>
            <w:r>
              <w:rPr>
                <w:rFonts w:ascii="Calibri" w:cs="Calibri" w:eastAsia="Calibri" w:hAnsi="Calibri"/>
                <w:b w:val="false"/>
                <w:bCs w:val="false"/>
                <w:color w:val="1A1A1A"/>
                <w:sz w:val="19"/>
                <w:szCs w:val="19"/>
              </w:rPr>
              <w:t xml:space="preserve">citlivejšie svieti pri malom prúde</w:t>
            </w:r>
          </w:p>
        </w:tc>
      </w:tr>
    </w:tbl>
    <w:p>
      <w:pPr>
        <w:spacing w:after="220" w:line="300"/>
      </w:pPr>
      <w:r>
        <w:rPr>
          <w:rFonts w:ascii="Calibri" w:cs="Calibri" w:eastAsia="Calibri" w:hAnsi="Calibri"/>
          <w:b w:val="false"/>
          <w:bCs w:val="false"/>
          <w:i/>
          <w:iCs/>
          <w:color w:val="5B6B78"/>
          <w:sz w:val="19"/>
          <w:szCs w:val="19"/>
        </w:rPr>
        <w:t xml:space="preserve">Voliteľné meracie pomôcky: osciloskop alebo frekvenčný čítač (overenie f 555 oscilátora), LCR meter (skutočná L cievok).</w:t>
      </w:r>
    </w:p>
    <w:p>
      <w:pPr>
        <w:pStyle w:val="Heading2"/>
        <w:spacing w:after="100" w:before="200"/>
      </w:pPr>
      <w:r>
        <w:rPr>
          <w:rFonts w:ascii="Cambria" w:cs="Cambria" w:eastAsia="Cambria" w:hAnsi="Cambria"/>
          <w:b/>
          <w:bCs/>
          <w:color w:val="5B7B93"/>
          <w:sz w:val="21"/>
          <w:szCs w:val="21"/>
        </w:rPr>
        <w:t xml:space="preserve">Schéma zapojenia — tag</w:t>
      </w:r>
    </w:p>
    <w:p>
      <w:pPr>
        <w:spacing w:after="140" w:line="300"/>
      </w:pPr>
      <w:r>
        <w:rPr>
          <w:rFonts w:ascii="Calibri" w:cs="Calibri" w:eastAsia="Calibri" w:hAnsi="Calibri"/>
          <w:b w:val="false"/>
          <w:bCs w:val="false"/>
          <w:i w:val="false"/>
          <w:iCs w:val="false"/>
          <w:color w:val="1A1A1A"/>
          <w:sz w:val="21"/>
          <w:szCs w:val="21"/>
        </w:rPr>
        <w:t xml:space="preserve">Cievka L tagu a kondenzátor C sú zapojené PARALELNE — tvoria rezonančný tank naladený na rovnakú f₀ ako anténa čítačky, presne podľa vášho výpočtu z Úlohy A. Keď sa tag ocitne v magnetickom poli čítačky, na tanku sa indukuje striedavé napätie, ktoré je vďaka rezonancii maximálne. Dióda D1 ho usmerní, kondenzátor C2 vyhladí zvyškové zvlnenie a výsledné jednosmerné napätie napája LED — presne rovnaká topológia ako jednoduchý usmerňovač z Úlohy 4a v pracovnom liste.</w:t>
      </w:r>
    </w:p>
    <w:p>
      <w:pPr>
        <w:spacing w:after="140" w:before="100"/>
        <w:jc w:val="center"/>
      </w:pPr>
      <w:r>
        <w:drawing>
          <wp:inline distT="0" distB="0" distL="0" distR="0">
            <wp:extent cx="40767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76700" cy="1647825"/>
                    </a:xfrm>
                    <a:prstGeom prst="rect">
                      <a:avLst/>
                    </a:prstGeom>
                  </pic:spPr>
                </pic:pic>
              </a:graphicData>
            </a:graphic>
          </wp:inline>
        </w:drawing>
      </w:r>
    </w:p>
    <w:p>
      <w:pPr>
        <w:spacing w:after="220" w:line="300"/>
      </w:pPr>
      <w:r>
        <w:rPr>
          <w:rFonts w:ascii="Calibri" w:cs="Calibri" w:eastAsia="Calibri" w:hAnsi="Calibri"/>
          <w:b w:val="false"/>
          <w:bCs w:val="false"/>
          <w:i/>
          <w:iCs/>
          <w:color w:val="5B6B78"/>
          <w:sz w:val="17"/>
          <w:szCs w:val="17"/>
        </w:rPr>
        <w:t xml:space="preserve">Obr. 2 — rezonančný L ∥ C tank tagu, usmerňovač D1 + C2 a LED ako záťaž.</w:t>
      </w:r>
    </w:p>
    <w:p>
      <w:pPr>
        <w:pStyle w:val="Heading2"/>
        <w:spacing w:after="100" w:before="200"/>
      </w:pPr>
      <w:r>
        <w:rPr>
          <w:rFonts w:ascii="Cambria" w:cs="Cambria" w:eastAsia="Cambria" w:hAnsi="Cambria"/>
          <w:b/>
          <w:bCs/>
          <w:color w:val="5B7B93"/>
          <w:sz w:val="21"/>
          <w:szCs w:val="21"/>
        </w:rPr>
        <w:t xml:space="preserve">Postup — stavba, meranie, experimenty</w:t>
      </w:r>
    </w:p>
    <w:p>
      <w:pPr>
        <w:pStyle w:val="ListParagraph"/>
        <w:numPr>
          <w:ilvl w:val="0"/>
          <w:numId w:val="3"/>
        </w:numPr>
        <w:spacing w:after="120" w:line="300"/>
      </w:pPr>
      <w:r>
        <w:rPr>
          <w:rFonts w:ascii="Calibri" w:cs="Calibri" w:eastAsia="Calibri" w:hAnsi="Calibri"/>
          <w:color w:val="1A1A1A"/>
          <w:sz w:val="21"/>
          <w:szCs w:val="21"/>
        </w:rPr>
        <w:t xml:space="preserve">Ak ste cievku tagu ešte nenavinuli, urobte tak teraz (recept v Úlohe A). Zapojte ju paralelne s vypočítaným C, pridajte D1, C2 a LED podľa schémy na Obr. 2.</w:t>
      </w:r>
    </w:p>
    <w:p>
      <w:pPr>
        <w:pStyle w:val="ListParagraph"/>
        <w:numPr>
          <w:ilvl w:val="0"/>
          <w:numId w:val="3"/>
        </w:numPr>
        <w:spacing w:after="120" w:line="300"/>
      </w:pPr>
      <w:r>
        <w:rPr>
          <w:rFonts w:ascii="Calibri" w:cs="Calibri" w:eastAsia="Calibri" w:hAnsi="Calibri"/>
          <w:color w:val="1A1A1A"/>
          <w:sz w:val="21"/>
          <w:szCs w:val="21"/>
        </w:rPr>
        <w:t xml:space="preserve">Priblížte tag k anténe čítačky v rôznych vzdialenostiach a vzájomnej orientácii cievok (súoso oproti kolmo). Hľadajte polohu, v ktorej LED svieti najjasnejšie.</w:t>
      </w:r>
    </w:p>
    <w:p>
      <w:pPr>
        <w:pStyle w:val="ListParagraph"/>
        <w:numPr>
          <w:ilvl w:val="0"/>
          <w:numId w:val="3"/>
        </w:numPr>
        <w:spacing w:after="120" w:line="300"/>
      </w:pPr>
      <w:r>
        <w:rPr>
          <w:rFonts w:ascii="Calibri" w:cs="Calibri" w:eastAsia="Calibri" w:hAnsi="Calibri"/>
          <w:color w:val="1A1A1A"/>
          <w:sz w:val="21"/>
          <w:szCs w:val="21"/>
        </w:rPr>
        <w:t xml:space="preserve">Ak máte pripravené aj druhú blízku hodnotu C (napr. 330 pF aj 360 pF), vyskúšajte obe a porovnajte, ktorá dáva jasnejšie svietenie — to je vaše experimentálne doladenie na skutočnú rezonanciu.</w:t>
      </w:r>
    </w:p>
    <w:p>
      <w:pPr>
        <w:pStyle w:val="ListParagraph"/>
        <w:numPr>
          <w:ilvl w:val="0"/>
          <w:numId w:val="3"/>
        </w:numPr>
        <w:spacing w:after="120" w:line="300"/>
      </w:pPr>
      <w:r>
        <w:rPr>
          <w:rFonts w:ascii="Calibri" w:cs="Calibri" w:eastAsia="Calibri" w:hAnsi="Calibri"/>
          <w:color w:val="1A1A1A"/>
          <w:sz w:val="21"/>
          <w:szCs w:val="21"/>
        </w:rPr>
        <w:t xml:space="preserve">Experiment A — doladenie mimo rezonancie: pridajte paralelne k C na tagu malý dodatočný kondenzátor (napr. +100 pF) a pri rovnakej vzdialenosti porovnajte jas LED. Mala by viditeľne klesnúť — priamy dôkaz, že mimo rezonancie sa prenáša menej energie.</w:t>
      </w:r>
    </w:p>
    <w:p>
      <w:pPr>
        <w:pStyle w:val="ListParagraph"/>
        <w:numPr>
          <w:ilvl w:val="0"/>
          <w:numId w:val="3"/>
        </w:numPr>
        <w:spacing w:after="120" w:line="300"/>
      </w:pPr>
      <w:r>
        <w:rPr>
          <w:rFonts w:ascii="Calibri" w:cs="Calibri" w:eastAsia="Calibri" w:hAnsi="Calibri"/>
          <w:color w:val="1A1A1A"/>
          <w:sz w:val="21"/>
          <w:szCs w:val="21"/>
        </w:rPr>
        <w:t xml:space="preserve">Experiment B — usmerňovač: ak máte k dispozícii aj kremíkovú diódu (napr. 1N4148), vymeňte ju za D1 a porovnajte jas LED so Schottky/Ge diódou. Ukazuje to reálny vplyv úbytku </w:t>
      </w:r>
      <w:r>
        <w:rPr>
          <w:rFonts w:ascii="Calibri" w:cs="Calibri" w:eastAsia="Calibri" w:hAnsi="Calibri"/>
          <w:color w:val="1A1A1A"/>
          <w:sz w:val="21"/>
          <w:szCs w:val="21"/>
        </w:rPr>
        <w:t xml:space="preserve">U</w:t>
      </w:r>
      <w:r>
        <w:rPr>
          <w:rFonts w:ascii="Calibri" w:cs="Calibri" w:eastAsia="Calibri" w:hAnsi="Calibri"/>
          <w:color w:val="1A1A1A"/>
          <w:sz w:val="21"/>
          <w:szCs w:val="21"/>
          <w:vertAlign w:val="subscript"/>
        </w:rPr>
        <w:t xml:space="preserve">D</w:t>
      </w:r>
      <w:r>
        <w:rPr>
          <w:rFonts w:ascii="Calibri" w:cs="Calibri" w:eastAsia="Calibri" w:hAnsi="Calibri"/>
          <w:color w:val="1A1A1A"/>
          <w:sz w:val="21"/>
          <w:szCs w:val="21"/>
        </w:rPr>
        <w:t xml:space="preserve"> na využiteľný výkon — súvis s Úlohou 4 pracovného listu.</w:t>
      </w:r>
    </w:p>
    <w:p>
      <w:pPr>
        <w:spacing w:after="100" w:line="300"/>
      </w:pPr>
      <w:r>
        <w:rPr>
          <w:rFonts w:ascii="Calibri" w:cs="Calibri" w:eastAsia="Calibri" w:hAnsi="Calibri"/>
          <w:b w:val="false"/>
          <w:bCs w:val="false"/>
          <w:i w:val="false"/>
          <w:iCs w:val="false"/>
          <w:color w:val="1A1A1A"/>
          <w:sz w:val="21"/>
          <w:szCs w:val="21"/>
        </w:rPr>
        <w:t xml:space="preserve">Zapíšte si namerané/pozorované hodnoty: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7"/>
        <w:gridCol w:w="3117"/>
      </w:tblGrid>
      <w:tr>
        <w:trPr>
          <w:tblHeader/>
        </w:trPr>
        <w:tc>
          <w:tcPr>
            <w:tcW w:type="dxa" w:w="3116"/>
            <w:shd w:fill="5B7B93" w:val="clear"/>
            <w:tcMar>
              <w:top w:type="dxa" w:w="100"/>
              <w:left w:type="dxa" w:w="130"/>
              <w:bottom w:type="dxa" w:w="100"/>
              <w:right w:type="dxa" w:w="130"/>
            </w:tcMar>
            <w:vAlign w:val="center"/>
          </w:tcPr>
          <w:p>
            <w:pPr>
              <w:spacing w:after="0" w:line="280"/>
              <w:jc w:val="left"/>
            </w:pPr>
            <w:r>
              <w:rPr>
                <w:rFonts w:ascii="Calibri" w:cs="Calibri" w:eastAsia="Calibri" w:hAnsi="Calibri"/>
                <w:b/>
                <w:bCs/>
                <w:color w:val="FFFFFF"/>
                <w:sz w:val="19"/>
                <w:szCs w:val="19"/>
              </w:rPr>
              <w:t xml:space="preserve">Použitá C tagu (pF)</w:t>
            </w:r>
          </w:p>
        </w:tc>
        <w:tc>
          <w:tcPr>
            <w:tcW w:type="dxa" w:w="3117"/>
            <w:shd w:fill="5B7B93" w:val="clear"/>
            <w:tcMar>
              <w:top w:type="dxa" w:w="100"/>
              <w:left w:type="dxa" w:w="130"/>
              <w:bottom w:type="dxa" w:w="100"/>
              <w:right w:type="dxa" w:w="130"/>
            </w:tcMar>
            <w:vAlign w:val="center"/>
          </w:tcPr>
          <w:p>
            <w:pPr>
              <w:spacing w:after="0" w:line="280"/>
              <w:jc w:val="left"/>
            </w:pPr>
            <w:r>
              <w:rPr>
                <w:rFonts w:ascii="Calibri" w:cs="Calibri" w:eastAsia="Calibri" w:hAnsi="Calibri"/>
                <w:b/>
                <w:bCs/>
                <w:color w:val="FFFFFF"/>
                <w:sz w:val="19"/>
                <w:szCs w:val="19"/>
              </w:rPr>
              <w:t xml:space="preserve">Max. vzdialenosť, kde LED ešte svieti (mm)</w:t>
            </w:r>
          </w:p>
        </w:tc>
        <w:tc>
          <w:tcPr>
            <w:tcW w:type="dxa" w:w="3117"/>
            <w:shd w:fill="5B7B93" w:val="clear"/>
            <w:tcMar>
              <w:top w:type="dxa" w:w="100"/>
              <w:left w:type="dxa" w:w="130"/>
              <w:bottom w:type="dxa" w:w="100"/>
              <w:right w:type="dxa" w:w="130"/>
            </w:tcMar>
            <w:vAlign w:val="center"/>
          </w:tcPr>
          <w:p>
            <w:pPr>
              <w:spacing w:after="0" w:line="280"/>
              <w:jc w:val="left"/>
            </w:pPr>
            <w:r>
              <w:rPr>
                <w:rFonts w:ascii="Calibri" w:cs="Calibri" w:eastAsia="Calibri" w:hAnsi="Calibri"/>
                <w:b/>
                <w:bCs/>
                <w:color w:val="FFFFFF"/>
                <w:sz w:val="19"/>
                <w:szCs w:val="19"/>
              </w:rPr>
              <w:t xml:space="preserve">Poznámka (orientácia, dióda...)</w:t>
            </w:r>
          </w:p>
        </w:tc>
      </w:tr>
      <w:tr>
        <w:tc>
          <w:tcPr>
            <w:tcW w:type="dxa" w:w="3116"/>
            <w:tcMar>
              <w:top w:type="dxa" w:w="160"/>
              <w:left w:type="dxa" w:w="130"/>
              <w:bottom w:type="dxa" w:w="160"/>
              <w:right w:type="dxa" w:w="130"/>
            </w:tcMar>
          </w:tcPr>
          <w:p/>
        </w:tc>
        <w:tc>
          <w:tcPr>
            <w:tcW w:type="dxa" w:w="3117"/>
            <w:tcMar>
              <w:top w:type="dxa" w:w="160"/>
              <w:left w:type="dxa" w:w="130"/>
              <w:bottom w:type="dxa" w:w="160"/>
              <w:right w:type="dxa" w:w="130"/>
            </w:tcMar>
          </w:tcPr>
          <w:p/>
        </w:tc>
        <w:tc>
          <w:tcPr>
            <w:tcW w:type="dxa" w:w="3117"/>
            <w:tcMar>
              <w:top w:type="dxa" w:w="160"/>
              <w:left w:type="dxa" w:w="130"/>
              <w:bottom w:type="dxa" w:w="160"/>
              <w:right w:type="dxa" w:w="130"/>
            </w:tcMar>
          </w:tcPr>
          <w:p/>
        </w:tc>
      </w:tr>
      <w:tr>
        <w:tc>
          <w:tcPr>
            <w:tcW w:type="dxa" w:w="3116"/>
            <w:tcMar>
              <w:top w:type="dxa" w:w="160"/>
              <w:left w:type="dxa" w:w="130"/>
              <w:bottom w:type="dxa" w:w="160"/>
              <w:right w:type="dxa" w:w="130"/>
            </w:tcMar>
          </w:tcPr>
          <w:p/>
        </w:tc>
        <w:tc>
          <w:tcPr>
            <w:tcW w:type="dxa" w:w="3117"/>
            <w:tcMar>
              <w:top w:type="dxa" w:w="160"/>
              <w:left w:type="dxa" w:w="130"/>
              <w:bottom w:type="dxa" w:w="160"/>
              <w:right w:type="dxa" w:w="130"/>
            </w:tcMar>
          </w:tcPr>
          <w:p/>
        </w:tc>
        <w:tc>
          <w:tcPr>
            <w:tcW w:type="dxa" w:w="3117"/>
            <w:tcMar>
              <w:top w:type="dxa" w:w="160"/>
              <w:left w:type="dxa" w:w="130"/>
              <w:bottom w:type="dxa" w:w="160"/>
              <w:right w:type="dxa" w:w="130"/>
            </w:tcMar>
          </w:tcPr>
          <w:p/>
        </w:tc>
      </w:tr>
      <w:tr>
        <w:tc>
          <w:tcPr>
            <w:tcW w:type="dxa" w:w="3116"/>
            <w:tcMar>
              <w:top w:type="dxa" w:w="160"/>
              <w:left w:type="dxa" w:w="130"/>
              <w:bottom w:type="dxa" w:w="160"/>
              <w:right w:type="dxa" w:w="130"/>
            </w:tcMar>
          </w:tcPr>
          <w:p/>
        </w:tc>
        <w:tc>
          <w:tcPr>
            <w:tcW w:type="dxa" w:w="3117"/>
            <w:tcMar>
              <w:top w:type="dxa" w:w="160"/>
              <w:left w:type="dxa" w:w="130"/>
              <w:bottom w:type="dxa" w:w="160"/>
              <w:right w:type="dxa" w:w="130"/>
            </w:tcMar>
          </w:tcPr>
          <w:p/>
        </w:tc>
        <w:tc>
          <w:tcPr>
            <w:tcW w:type="dxa" w:w="3117"/>
            <w:tcMar>
              <w:top w:type="dxa" w:w="160"/>
              <w:left w:type="dxa" w:w="130"/>
              <w:bottom w:type="dxa" w:w="160"/>
              <w:right w:type="dxa" w:w="130"/>
            </w:tcMar>
          </w:tcPr>
          <w:p/>
        </w:tc>
      </w:tr>
    </w:tbl>
    <w:p>
      <w:pPr>
        <w:spacing w:after="240"/>
      </w:pPr>
    </w:p>
    <w:p>
      <w:pPr>
        <w:pStyle w:val="Heading1"/>
        <w:pBdr>
          <w:bottom w:val="single" w:color="5B7B93" w:sz="6" w:space="6"/>
        </w:pBdr>
        <w:spacing w:after="150" w:before="300"/>
      </w:pPr>
      <w:r>
        <w:rPr>
          <w:rFonts w:ascii="Cambria" w:cs="Cambria" w:eastAsia="Cambria" w:hAnsi="Cambria"/>
          <w:b/>
          <w:bCs/>
          <w:color w:val="263543"/>
          <w:sz w:val="25"/>
          <w:szCs w:val="25"/>
        </w:rPr>
        <w:t xml:space="preserve">Otázky na zamyslenie</w:t>
      </w:r>
    </w:p>
    <w:p>
      <w:pPr>
        <w:spacing w:after="40" w:line="300"/>
      </w:pPr>
      <w:r>
        <w:rPr>
          <w:rFonts w:ascii="Calibri" w:cs="Calibri" w:eastAsia="Calibri" w:hAnsi="Calibri"/>
          <w:b/>
          <w:bCs/>
          <w:i w:val="false"/>
          <w:iCs w:val="false"/>
          <w:color w:val="1A1A1A"/>
          <w:sz w:val="21"/>
          <w:szCs w:val="21"/>
        </w:rPr>
        <w:t xml:space="preserve">1. LED sa u vás pravdepodobne rozsvieti len na vzdialenosť rádovo milimetrov až pár centimetrov, kým skutočná prístupová karta funguje spoľahlivo na 5–10 cm. Čo by ste museli na vašom obvode vylepšiť, aby sa dosah zväčšil? (Uvažujte nad Q cievok, presnosťou naladenia aj veľkosťou/tvarom antény.)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none"/>
              <w:left w:val="none"/>
              <w:bottom w:val="single" w:color="9FB3C2" w:sz="4"/>
              <w:right w:val="none"/>
            </w:tcBorders>
            <w:tcMar>
              <w:top w:type="dxa" w:w="40"/>
              <w:left w:type="dxa" w:w="0"/>
              <w:bottom w:type="dxa" w:w="260"/>
              <w:right w:type="dxa" w:w="0"/>
            </w:tcMar>
          </w:tcPr>
          <w:p/>
        </w:tc>
      </w:tr>
    </w:tbl>
    <w:p>
      <w:pPr>
        <w:spacing w:after="40" w:line="300"/>
      </w:pPr>
      <w:r>
        <w:rPr>
          <w:rFonts w:ascii="Calibri" w:cs="Calibri" w:eastAsia="Calibri" w:hAnsi="Calibri"/>
          <w:b/>
          <w:bCs/>
          <w:i w:val="false"/>
          <w:iCs w:val="false"/>
          <w:color w:val="1A1A1A"/>
          <w:sz w:val="21"/>
          <w:szCs w:val="21"/>
        </w:rPr>
        <w:t xml:space="preserve">2. Čo by sa stalo s väzbou, keby ste anténu čítačky priblížili tesne ku kovovému (vodivému) predmetu?</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none"/>
              <w:left w:val="none"/>
              <w:bottom w:val="single" w:color="9FB3C2" w:sz="4"/>
              <w:right w:val="none"/>
            </w:tcBorders>
            <w:tcMar>
              <w:top w:type="dxa" w:w="40"/>
              <w:left w:type="dxa" w:w="0"/>
              <w:bottom w:type="dxa" w:w="260"/>
              <w:right w:type="dxa" w:w="0"/>
            </w:tcMar>
          </w:tcPr>
          <w:p/>
        </w:tc>
      </w:tr>
    </w:tbl>
    <w:p>
      <w:pPr>
        <w:spacing w:after="40" w:line="300"/>
      </w:pPr>
      <w:r>
        <w:rPr>
          <w:rFonts w:ascii="Calibri" w:cs="Calibri" w:eastAsia="Calibri" w:hAnsi="Calibri"/>
          <w:b/>
          <w:bCs/>
          <w:i w:val="false"/>
          <w:iCs w:val="false"/>
          <w:color w:val="1A1A1A"/>
          <w:sz w:val="21"/>
          <w:szCs w:val="21"/>
        </w:rPr>
        <w:t xml:space="preserve">3. Prečo je v tagu použitý JEDNODUCHÝ usmerňovač (jedna dióda), a nie Graetzov mostík z Úlohy 4b, hoci mostík z rovnakého </w:t>
      </w:r>
      <w:r>
        <w:rPr>
          <w:rFonts w:ascii="Calibri" w:cs="Calibri" w:eastAsia="Calibri" w:hAnsi="Calibri"/>
          <w:b/>
          <w:bCs/>
          <w:i w:val="false"/>
          <w:iCs w:val="false"/>
          <w:color w:val="1A1A1A"/>
          <w:sz w:val="21"/>
          <w:szCs w:val="21"/>
        </w:rPr>
        <w:t xml:space="preserve">U</w:t>
      </w:r>
      <w:r>
        <w:rPr>
          <w:rFonts w:ascii="Calibri" w:cs="Calibri" w:eastAsia="Calibri" w:hAnsi="Calibri"/>
          <w:b/>
          <w:bCs/>
          <w:i w:val="false"/>
          <w:iCs w:val="false"/>
          <w:color w:val="1A1A1A"/>
          <w:sz w:val="21"/>
          <w:szCs w:val="21"/>
          <w:vertAlign w:val="subscript"/>
        </w:rPr>
        <w:t xml:space="preserve">pk</w:t>
      </w:r>
      <w:r>
        <w:rPr>
          <w:rFonts w:ascii="Calibri" w:cs="Calibri" w:eastAsia="Calibri" w:hAnsi="Calibri"/>
          <w:b/>
          <w:bCs/>
          <w:i w:val="false"/>
          <w:iCs w:val="false"/>
          <w:color w:val="1A1A1A"/>
          <w:sz w:val="21"/>
          <w:szCs w:val="21"/>
        </w:rPr>
        <w:t xml:space="preserve"> dá vyššie usmernené napätie?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none"/>
              <w:left w:val="none"/>
              <w:bottom w:val="single" w:color="9FB3C2" w:sz="4"/>
              <w:right w:val="none"/>
            </w:tcBorders>
            <w:tcMar>
              <w:top w:type="dxa" w:w="40"/>
              <w:left w:type="dxa" w:w="0"/>
              <w:bottom w:type="dxa" w:w="260"/>
              <w:right w:type="dxa" w:w="0"/>
            </w:tcMar>
          </w:tcPr>
          <w:p/>
        </w:tc>
      </w:tr>
    </w:tbl>
    <w:p>
      <w:pPr>
        <w:pStyle w:val="Heading1"/>
        <w:pBdr>
          <w:bottom w:val="single" w:color="5B7B93" w:sz="6" w:space="6"/>
        </w:pBdr>
        <w:spacing w:after="150" w:before="300"/>
      </w:pPr>
      <w:r>
        <w:rPr>
          <w:rFonts w:ascii="Cambria" w:cs="Cambria" w:eastAsia="Cambria" w:hAnsi="Cambria"/>
          <w:b/>
          <w:bCs/>
          <w:color w:val="263543"/>
          <w:sz w:val="25"/>
          <w:szCs w:val="25"/>
        </w:rPr>
        <w:t xml:space="preserve">Riešenie problémov</w:t>
      </w:r>
    </w:p>
    <w:p>
      <w:pPr>
        <w:pStyle w:val="ListParagraph"/>
        <w:numPr>
          <w:ilvl w:val="0"/>
          <w:numId w:val="4"/>
        </w:numPr>
        <w:spacing w:after="90" w:line="300"/>
      </w:pPr>
      <w:r>
        <w:rPr>
          <w:rFonts w:ascii="Calibri" w:cs="Calibri" w:eastAsia="Calibri" w:hAnsi="Calibri"/>
          <w:color w:val="1A1A1A"/>
          <w:sz w:val="21"/>
          <w:szCs w:val="21"/>
        </w:rPr>
        <w:t xml:space="preserve">LED nesvieti vôbec: skontrolujte polaritu LED aj D1 (anóda/katóda), overte 555 skutočne kmitá na správnej frekvencii (osciloskop/čítač), skúste tag priblížiť oveľa bližšie (pár mm) alebo súoso zarovnať cievky.</w:t>
      </w:r>
    </w:p>
    <w:p>
      <w:pPr>
        <w:pStyle w:val="ListParagraph"/>
        <w:numPr>
          <w:ilvl w:val="0"/>
          <w:numId w:val="4"/>
        </w:numPr>
        <w:spacing w:after="90" w:line="300"/>
      </w:pPr>
      <w:r>
        <w:rPr>
          <w:rFonts w:ascii="Calibri" w:cs="Calibri" w:eastAsia="Calibri" w:hAnsi="Calibri"/>
          <w:color w:val="1A1A1A"/>
          <w:sz w:val="21"/>
          <w:szCs w:val="21"/>
        </w:rPr>
        <w:t xml:space="preserve">LED svieti len na dotyk cievok: pridajte na tag cievke viac závitov (zvýši sa L aj napäťová odozva) alebo použite LED so skutočne nízkym prahovým prúdom/napätím.</w:t>
      </w:r>
    </w:p>
    <w:p>
      <w:pPr>
        <w:pStyle w:val="ListParagraph"/>
        <w:numPr>
          <w:ilvl w:val="0"/>
          <w:numId w:val="4"/>
        </w:numPr>
        <w:spacing w:after="90" w:line="300"/>
      </w:pPr>
      <w:r>
        <w:rPr>
          <w:rFonts w:ascii="Calibri" w:cs="Calibri" w:eastAsia="Calibri" w:hAnsi="Calibri"/>
          <w:color w:val="1A1A1A"/>
          <w:sz w:val="21"/>
          <w:szCs w:val="21"/>
        </w:rPr>
        <w:t xml:space="preserve">555 nekmitá na 125 kHz: skontrolujte, či sú piny 2 (TRIG) a 6 (THR) skutočne prepojené, a či pin 4 (RESET) je pripojený na VCC (v zjednodušenej schéme Obr. 1 nie je kreslený samostatne).</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B78"/>
        <w:sz w:val="16"/>
        <w:szCs w:val="16"/>
      </w:rPr>
      <w:t xml:space="preserve">SPŠE Zochova · </w:t>
    </w:r>
    <w:r>
      <w:rPr>
        <w:rFonts w:ascii="Calibri" w:cs="Calibri" w:eastAsia="Calibri" w:hAnsi="Calibri"/>
        <w:color w:val="5B6B7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FE5" w:sz="4" w:space="4"/>
      </w:pBdr>
      <w:jc w:val="right"/>
    </w:pPr>
    <w:r>
      <w:rPr>
        <w:rFonts w:ascii="Calibri" w:cs="Calibri" w:eastAsia="Calibri" w:hAnsi="Calibri"/>
        <w:color w:val="5B6B78"/>
        <w:sz w:val="16"/>
        <w:szCs w:val="16"/>
      </w:rPr>
      <w:t xml:space="preserve">Aplikovaná elektronika · Laboratórne cvičenie — Vlastná RFID väzba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rPr>
        <w:color w:val="5B7B93"/>
      </w:rPr>
    </w:lvl>
  </w:abstractNum>
  <w:abstractNum w:abstractNumId="3" w15:restartNumberingAfterBreak="0">
    <w:multiLevelType w:val="hybridMultilevel"/>
    <w:lvl w:ilvl="0" w15:tentative="1">
      <w:start w:val="1"/>
      <w:numFmt w:val="decimal"/>
      <w:lvlText w:val="%1."/>
      <w:lvlJc w:val="left"/>
      <w:pPr>
        <w:ind w:left="460" w:hanging="403"/>
      </w:pPr>
      <w:rPr>
        <w:b/>
        <w:bCs/>
        <w:color w:val="5B7B93"/>
      </w:rPr>
    </w:lvl>
  </w:abstractNum>
  <w:abstractNum w:abstractNumId="4" w15:restartNumberingAfterBreak="0">
    <w:multiLevelType w:val="hybridMultilevel"/>
    <w:lvl w:ilvl="0" w15:tentative="1">
      <w:start w:val="1"/>
      <w:numFmt w:val="decimal"/>
      <w:lvlText w:val="%1."/>
      <w:lvlJc w:val="left"/>
      <w:pPr>
        <w:ind w:left="460" w:hanging="403"/>
      </w:pPr>
      <w:rPr>
        <w:b/>
        <w:bCs/>
        <w:color w:val="5B7B93"/>
      </w:r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b9c9947cc4a75562a1b9677f9b1df73a0c65b97.png"/><Relationship Id="rId10" Type="http://schemas.openxmlformats.org/officeDocument/2006/relationships/image" Target="media/d5f3580b3a7dddaa629b045a53494f922a02758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2026-09-17T15:59:36.073Z</dcterms:created>
  <dcterms:modified xsi:type="dcterms:W3CDTF">2026-09-17T15:59:36.076Z</dcterms:modified>
</cp:coreProperties>
</file>

<file path=docProps/custom.xml><?xml version="1.0" encoding="utf-8"?>
<Properties xmlns="http://schemas.openxmlformats.org/officeDocument/2006/custom-properties" xmlns:vt="http://schemas.openxmlformats.org/officeDocument/2006/docPropsVTypes"/>
</file>